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jpeg" ContentType="image/jpeg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jc w:val="left"/>
        <w:rPr>
          <w:rFonts w:ascii="Carlito" w:hAnsi="Carlito"/>
          <w:color w:val="auto"/>
          <w:sz w:val="28"/>
          <w:szCs w:val="28"/>
        </w:rPr>
      </w:pPr>
      <w:r>
        <w:rPr>
          <w:rFonts w:ascii="Carlito" w:hAnsi="Carlito"/>
          <w:b/>
          <w:color w:val="auto"/>
          <w:sz w:val="28"/>
          <w:szCs w:val="28"/>
        </w:rPr>
        <w:t>Nieruchomość pod zabudowę mieszkaniową jednorodzinną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rlito" w:hAnsi="Carlito"/>
          <w:color w:val="auto"/>
          <w:sz w:val="28"/>
          <w:szCs w:val="28"/>
        </w:rPr>
      </w:pPr>
      <w:r>
        <w:rPr>
          <w:rFonts w:ascii="Carlito" w:hAnsi="Carlito"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rlito" w:hAnsi="Carlito"/>
          <w:color w:val="auto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F472C20">
                <wp:simplePos x="0" y="0"/>
                <wp:positionH relativeFrom="column">
                  <wp:posOffset>4559300</wp:posOffset>
                </wp:positionH>
                <wp:positionV relativeFrom="paragraph">
                  <wp:posOffset>410845</wp:posOffset>
                </wp:positionV>
                <wp:extent cx="2616835" cy="1962785"/>
                <wp:effectExtent l="76200" t="19050" r="69850" b="133350"/>
                <wp:wrapSquare wrapText="bothSides"/>
                <wp:docPr id="1" name="Obraz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616120" cy="1962000"/>
                        </a:xfrm>
                        <a:prstGeom prst="rect">
                          <a:avLst/>
                        </a:prstGeom>
                        <a:ln w="22320">
                          <a:solidFill>
                            <a:schemeClr val="accent2"/>
                          </a:solidFill>
                          <a:miter/>
                        </a:ln>
                        <a:effectLst>
                          <a:outerShdw algn="ctr" blurRad="50800" dir="5400000" dist="50760" rotWithShape="0">
                            <a:srgbClr val="ffc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t" style="position:absolute;margin-left:359pt;margin-top:32.35pt;width:205.95pt;height:154.45pt" wp14:anchorId="1F472C20" type="shapetype_75">
                <v:imagedata r:id="rId2" o:detectmouseclick="t"/>
                <w10:wrap type="none"/>
                <v:stroke color="#ed7d31" weight="22320" joinstyle="miter" endcap="flat"/>
                <v:shadow on="t" obscured="f" color="#ffc000"/>
              </v:shape>
            </w:pict>
          </mc:Fallback>
        </mc:AlternateContent>
      </w:r>
      <w:r>
        <w:rPr>
          <w:rFonts w:cs="MyriadPro-LightSemiExt" w:ascii="Carlito" w:hAnsi="Carlito"/>
          <w:color w:val="auto"/>
          <w:sz w:val="28"/>
          <w:szCs w:val="28"/>
        </w:rPr>
        <w:t>Działka o powierzchni 964 m</w:t>
      </w:r>
      <w:r>
        <w:rPr>
          <w:rFonts w:cs="MyriadPro-LightSemiExt" w:ascii="Carlito" w:hAnsi="Carlito"/>
          <w:color w:val="auto"/>
          <w:sz w:val="28"/>
          <w:szCs w:val="28"/>
          <w:vertAlign w:val="superscript"/>
        </w:rPr>
        <w:t>2</w:t>
      </w:r>
      <w:r>
        <w:rPr>
          <w:rFonts w:cs="MyriadPro-LightSemiExt" w:ascii="Carlito" w:hAnsi="Carlito"/>
          <w:color w:val="auto"/>
          <w:sz w:val="28"/>
          <w:szCs w:val="28"/>
        </w:rPr>
        <w:t xml:space="preserve"> przy ul. Oficerskiej w Szklarskiej Porębie, przeznaczona jest pod budowę domu mieszkalnego jednorodzinnego, z możliwą zabudową pensjonatową o skali zbliżonej do zabudowy mieszkaniowej jednorodzinnej.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rlito" w:hAnsi="Carlito"/>
          <w:color w:val="auto"/>
          <w:sz w:val="28"/>
          <w:szCs w:val="28"/>
        </w:rPr>
      </w:pPr>
      <w:r>
        <w:rPr>
          <w:rFonts w:ascii="Carlito" w:hAnsi="Carlito"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>Rodzaj nieruchomości:</w:t>
      </w:r>
      <w:r>
        <w:rPr>
          <w:rFonts w:eastAsia="Calibri" w:cs="Times New Roman" w:ascii="Carlito" w:hAnsi="Carlito"/>
          <w:color w:val="auto"/>
          <w:sz w:val="28"/>
          <w:szCs w:val="28"/>
        </w:rPr>
        <w:t xml:space="preserve"> nieruchomość zabudowana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>Oznaczenie w ewidencji gruntów i budynków</w:t>
      </w:r>
      <w:r>
        <w:rPr>
          <w:rFonts w:eastAsia="Calibri" w:cs="Times New Roman" w:ascii="Carlito" w:hAnsi="Carlito"/>
          <w:color w:val="auto"/>
          <w:sz w:val="28"/>
          <w:szCs w:val="28"/>
        </w:rPr>
        <w:t>:  działka nr 228/4 obr. 0001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sz w:val="16"/>
          <w:szCs w:val="16"/>
          <w:vertAlign w:val="superscript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Powierzchnia działki: </w:t>
      </w:r>
      <w:r>
        <w:rPr>
          <w:rFonts w:eastAsia="Calibri" w:cs="Times New Roman" w:ascii="Carlito" w:hAnsi="Carlito"/>
          <w:color w:val="auto"/>
          <w:sz w:val="28"/>
          <w:szCs w:val="28"/>
        </w:rPr>
        <w:t>964 m</w:t>
      </w:r>
      <w:r>
        <w:rPr>
          <w:rFonts w:eastAsia="Calibri" w:cs="Times New Roman" w:ascii="Carlito" w:hAnsi="Carlito"/>
          <w:color w:val="auto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Lokalizacja: </w:t>
      </w:r>
      <w:r>
        <w:rPr>
          <w:rFonts w:eastAsia="Calibri" w:cs="Times New Roman" w:ascii="Carlito" w:hAnsi="Carlito"/>
          <w:color w:val="auto"/>
          <w:sz w:val="28"/>
          <w:szCs w:val="28"/>
        </w:rPr>
        <w:t>w strefie centralnej pośredniej przy ul. Oficerskiej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b/>
          <w:b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Sytuacja prawna: </w:t>
      </w:r>
      <w:r>
        <w:rPr>
          <w:rFonts w:eastAsia="Calibri" w:cs="Times New Roman" w:ascii="Carlito" w:hAnsi="Carlito"/>
          <w:color w:val="auto"/>
          <w:sz w:val="28"/>
          <w:szCs w:val="28"/>
        </w:rPr>
        <w:t>własność Gminy Szklarska Poręba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b/>
          <w:b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Nr Księgi wieczystej: </w:t>
      </w:r>
      <w:r>
        <w:rPr>
          <w:rFonts w:ascii="Carlito" w:hAnsi="Carlito"/>
          <w:color w:val="auto"/>
          <w:sz w:val="28"/>
          <w:szCs w:val="28"/>
        </w:rPr>
        <w:t xml:space="preserve">Sąd Rejonowy w Jeleniej Górze dla tej działki i dla innych działek prowadzi księgę wieczystą </w:t>
      </w:r>
      <w:r>
        <w:rPr>
          <w:rFonts w:ascii="Carlito" w:hAnsi="Carlito"/>
          <w:b/>
          <w:color w:val="auto"/>
          <w:sz w:val="28"/>
          <w:szCs w:val="28"/>
        </w:rPr>
        <w:t xml:space="preserve">KW NR  JG1J/00092493/1. </w:t>
      </w:r>
      <w:r>
        <w:rPr>
          <w:rFonts w:ascii="Carlito" w:hAnsi="Carlito"/>
          <w:color w:val="auto"/>
          <w:sz w:val="28"/>
          <w:szCs w:val="28"/>
        </w:rPr>
        <w:t>W chwili sprzedaży dla nieruchomości zostanie założona nowa księga wieczysta.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rlito" w:hAnsi="Carlito"/>
          <w:color w:val="auto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03DDA0C3">
                <wp:simplePos x="0" y="0"/>
                <wp:positionH relativeFrom="column">
                  <wp:posOffset>4609465</wp:posOffset>
                </wp:positionH>
                <wp:positionV relativeFrom="paragraph">
                  <wp:posOffset>104140</wp:posOffset>
                </wp:positionV>
                <wp:extent cx="2573020" cy="1968500"/>
                <wp:effectExtent l="76200" t="19050" r="75565" b="127635"/>
                <wp:wrapSquare wrapText="bothSides"/>
                <wp:docPr id="2" name="Obraz 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2560" cy="1967760"/>
                        </a:xfrm>
                        <a:prstGeom prst="rect">
                          <a:avLst/>
                        </a:prstGeom>
                        <a:ln w="22320">
                          <a:solidFill>
                            <a:schemeClr val="accent2"/>
                          </a:solidFill>
                          <a:miter/>
                        </a:ln>
                        <a:effectLst>
                          <a:outerShdw algn="ctr" blurRad="50800" dir="5400000" dist="50760" rotWithShape="0">
                            <a:srgbClr val="ffc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az 10" stroked="t" style="position:absolute;margin-left:362.95pt;margin-top:8.2pt;width:202.5pt;height:154.9pt" wp14:anchorId="03DDA0C3" type="shapetype_75">
                <v:imagedata r:id="rId3" o:detectmouseclick="t"/>
                <w10:wrap type="none"/>
                <v:stroke color="#ed7d31" weight="22320" joinstyle="miter" endcap="flat"/>
                <v:shadow on="t" obscured="f" color="#ffc000"/>
              </v:shape>
            </w:pict>
          </mc:Fallback>
        </mc:AlternateContent>
      </w:r>
      <w:r>
        <w:rPr>
          <w:rFonts w:eastAsia="Calibri" w:cs="Times New Roman" w:ascii="Carlito" w:hAnsi="Carlito"/>
          <w:b/>
          <w:color w:val="auto"/>
          <w:sz w:val="28"/>
          <w:szCs w:val="28"/>
        </w:rPr>
        <w:t>Sposób udost</w:t>
      </w:r>
      <w:r>
        <w:rPr>
          <w:rFonts w:eastAsia="Calibri" w:cs="Times New Roman" w:ascii="Carlito" w:hAnsi="Carlito"/>
          <w:b/>
          <w:color w:val="auto"/>
          <w:sz w:val="28"/>
          <w:szCs w:val="28"/>
        </w:rPr>
        <w:t>ę</w:t>
      </w: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pnienia nieruchomości: </w:t>
      </w:r>
      <w:r>
        <w:rPr>
          <w:rFonts w:eastAsia="Calibri" w:cs="Times New Roman" w:ascii="Carlito" w:hAnsi="Carlito"/>
          <w:color w:val="auto"/>
          <w:sz w:val="28"/>
          <w:szCs w:val="28"/>
        </w:rPr>
        <w:t>sprzedaż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Verdana" w:hAnsi="Verdana" w:eastAsia="Calibri" w:cs="Times New Roman"/>
          <w:sz w:val="16"/>
          <w:szCs w:val="16"/>
        </w:rPr>
      </w:pPr>
      <w:r>
        <w:rPr>
          <w:rFonts w:eastAsia="Calibri" w:cs="Times New Roman" w:ascii="Carlito" w:hAnsi="Carlito"/>
          <w:b/>
          <w:color w:val="auto"/>
          <w:sz w:val="28"/>
          <w:szCs w:val="28"/>
        </w:rPr>
        <w:t xml:space="preserve">Tryb nabycia: </w:t>
      </w:r>
      <w:r>
        <w:rPr>
          <w:rFonts w:eastAsia="Calibri" w:cs="Times New Roman" w:ascii="Carlito" w:hAnsi="Carlito"/>
          <w:color w:val="auto"/>
          <w:sz w:val="28"/>
          <w:szCs w:val="28"/>
        </w:rPr>
        <w:t>przetarg ustny nieograniczony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 w:cs="Arial"/>
          <w:b/>
          <w:b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66042252">
                <wp:simplePos x="0" y="0"/>
                <wp:positionH relativeFrom="column">
                  <wp:posOffset>4603115</wp:posOffset>
                </wp:positionH>
                <wp:positionV relativeFrom="paragraph">
                  <wp:posOffset>1880870</wp:posOffset>
                </wp:positionV>
                <wp:extent cx="2573020" cy="1520190"/>
                <wp:effectExtent l="76200" t="19050" r="75565" b="137795"/>
                <wp:wrapSquare wrapText="bothSides"/>
                <wp:docPr id="3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572560" cy="1519560"/>
                        </a:xfrm>
                        <a:prstGeom prst="rect">
                          <a:avLst/>
                        </a:prstGeom>
                        <a:ln w="22320">
                          <a:solidFill>
                            <a:schemeClr val="accent2"/>
                          </a:solidFill>
                          <a:miter/>
                        </a:ln>
                        <a:effectLst>
                          <a:outerShdw algn="ctr" blurRad="50800" dir="5400000" dist="50760" rotWithShape="0">
                            <a:srgbClr val="ffc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az 2" stroked="t" style="position:absolute;margin-left:362.45pt;margin-top:148.1pt;width:202.5pt;height:119.6pt" wp14:anchorId="66042252" type="shapetype_75">
                <v:imagedata r:id="rId4" o:detectmouseclick="t"/>
                <w10:wrap type="none"/>
                <v:stroke color="#ed7d31" weight="22320" joinstyle="miter" endcap="flat"/>
                <v:shadow on="t" obscured="f" color="#ffc000"/>
              </v:shape>
            </w:pict>
          </mc:Fallback>
        </mc:AlternateContent>
      </w:r>
      <w:r>
        <w:rPr>
          <w:rFonts w:eastAsia="Calibri" w:cs="Times New Roman" w:ascii="Carlito" w:hAnsi="Carlito"/>
          <w:b/>
          <w:color w:val="auto"/>
          <w:sz w:val="28"/>
          <w:szCs w:val="28"/>
        </w:rPr>
        <w:t>Przeznaczenie nieruchomości i sposób jej zagospodarowania:</w:t>
      </w:r>
      <w:r>
        <w:rPr>
          <w:rFonts w:eastAsia="Calibri" w:cs="Times New Roman" w:ascii="Carlito" w:hAnsi="Carlito"/>
          <w:color w:val="auto"/>
          <w:sz w:val="28"/>
          <w:szCs w:val="28"/>
        </w:rPr>
        <w:t xml:space="preserve"> </w:t>
      </w:r>
      <w:r>
        <w:rPr>
          <w:rFonts w:ascii="Carlito" w:hAnsi="Carlito"/>
          <w:color w:val="auto"/>
          <w:sz w:val="28"/>
          <w:szCs w:val="28"/>
        </w:rPr>
        <w:t xml:space="preserve">nieruchomość znajduje się na terenie objętym ustaleniami miejscowego planu zagospodarowania przestrzennego dla terenów </w:t>
      </w:r>
      <w:r>
        <w:rPr>
          <w:rFonts w:cs="Arial" w:ascii="Carlito" w:hAnsi="Carlito"/>
          <w:color w:val="auto"/>
          <w:sz w:val="28"/>
          <w:szCs w:val="28"/>
        </w:rPr>
        <w:t xml:space="preserve">obszarze ul. Armii Krajowej, ul. Oficerskiej, ul. 11 Listopada i ul. Górnej w Szklarskiej Porębie (uchwała Rady Miejskiej w Szklarskiej Porębie nr VIII/80/2011 z dnia 11 maja 2011 r., zmieniona uchwałą Rady Miejskiej w Szklarskiej Porębie nr LVII/701/2014 z dnia 12 listopada 2014 r.). Działka oznaczona jest na rysunku planu symbolem </w:t>
      </w:r>
      <w:r>
        <w:rPr>
          <w:rFonts w:cs="Arial" w:ascii="Carlito" w:hAnsi="Carlito"/>
          <w:b/>
          <w:color w:val="auto"/>
          <w:sz w:val="28"/>
          <w:szCs w:val="28"/>
        </w:rPr>
        <w:t xml:space="preserve">MN1- </w:t>
      </w:r>
      <w:r>
        <w:rPr>
          <w:rFonts w:cs="Arial" w:ascii="Carlito" w:hAnsi="Carlito"/>
          <w:color w:val="auto"/>
          <w:sz w:val="28"/>
          <w:szCs w:val="28"/>
        </w:rPr>
        <w:t>z przeznaczeniem podstawowym jako</w:t>
      </w:r>
      <w:r>
        <w:rPr>
          <w:rFonts w:cs="Arial" w:ascii="Carlito" w:hAnsi="Carlito"/>
          <w:b/>
          <w:color w:val="auto"/>
          <w:sz w:val="28"/>
          <w:szCs w:val="28"/>
        </w:rPr>
        <w:t xml:space="preserve"> tereny zabudowy mieszkaniowej jednorodzinnej </w:t>
      </w:r>
      <w:r>
        <w:rPr>
          <w:rFonts w:cs="Arial" w:ascii="Carlito" w:hAnsi="Carlito"/>
          <w:color w:val="auto"/>
          <w:sz w:val="28"/>
          <w:szCs w:val="28"/>
        </w:rPr>
        <w:t>oraz z przeznaczeniem dopuszczalnym</w:t>
      </w:r>
      <w:r>
        <w:rPr>
          <w:rFonts w:cs="Arial" w:ascii="Carlito" w:hAnsi="Carlito"/>
          <w:b/>
          <w:color w:val="auto"/>
          <w:sz w:val="28"/>
          <w:szCs w:val="28"/>
        </w:rPr>
        <w:t>: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 w:cs="Arial"/>
          <w:sz w:val="16"/>
          <w:szCs w:val="16"/>
        </w:rPr>
      </w:pPr>
      <w:r>
        <w:rPr>
          <w:rFonts w:cs="Arial" w:ascii="Carlito" w:hAnsi="Carlito"/>
          <w:color w:val="auto"/>
          <w:sz w:val="28"/>
          <w:szCs w:val="28"/>
        </w:rPr>
        <w:t>- zabudowa pensjonatowa o skali zbliżonej do zabudowy mieszkaniowej jednorodzinnej,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bCs/>
          <w:sz w:val="16"/>
          <w:szCs w:val="16"/>
        </w:rPr>
      </w:pPr>
      <w:r>
        <w:rPr>
          <w:rFonts w:ascii="Carlito" w:hAnsi="Carlito"/>
          <w:bCs/>
          <w:color w:val="auto"/>
          <w:sz w:val="28"/>
          <w:szCs w:val="28"/>
        </w:rPr>
        <w:t>- usługi wbudowane, w tym pokoje gościnne, zajmujące do 50% powierzchni użytkowej budynków,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bCs/>
          <w:sz w:val="16"/>
          <w:szCs w:val="16"/>
        </w:rPr>
      </w:pPr>
      <w:r>
        <w:rPr>
          <w:rFonts w:ascii="Carlito" w:hAnsi="Carlito"/>
          <w:bCs/>
          <w:color w:val="auto"/>
          <w:sz w:val="28"/>
          <w:szCs w:val="28"/>
        </w:rPr>
        <w:t>- zieleń urządzona i użytkowa,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bCs/>
          <w:sz w:val="16"/>
          <w:szCs w:val="16"/>
        </w:rPr>
      </w:pPr>
      <w:r>
        <w:rPr>
          <w:rFonts w:ascii="Carlito" w:hAnsi="Carlito"/>
          <w:bCs/>
          <w:color w:val="auto"/>
          <w:sz w:val="28"/>
          <w:szCs w:val="28"/>
        </w:rPr>
        <w:t>- parkingi,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bCs/>
          <w:sz w:val="16"/>
          <w:szCs w:val="16"/>
        </w:rPr>
      </w:pPr>
      <w:r>
        <w:rPr>
          <w:rFonts w:ascii="Carlito" w:hAnsi="Carlito"/>
          <w:bCs/>
          <w:color w:val="auto"/>
          <w:sz w:val="28"/>
          <w:szCs w:val="28"/>
        </w:rPr>
        <w:t>- obiekty, urządzenia i sieci infrastruktury technicznej,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bCs/>
          <w:sz w:val="16"/>
          <w:szCs w:val="16"/>
        </w:rPr>
      </w:pPr>
      <w:r>
        <w:rPr>
          <w:rFonts w:ascii="Carlito" w:hAnsi="Carlito"/>
          <w:bCs/>
          <w:color w:val="auto"/>
          <w:sz w:val="28"/>
          <w:szCs w:val="28"/>
        </w:rPr>
        <w:t xml:space="preserve">- ciągi komunikacyjne. </w:t>
      </w:r>
    </w:p>
    <w:p>
      <w:pPr>
        <w:pStyle w:val="Default"/>
        <w:spacing w:lineRule="auto" w:line="360" w:before="0" w:after="0"/>
        <w:ind w:left="0" w:right="0" w:hanging="0"/>
        <w:jc w:val="both"/>
        <w:rPr>
          <w:rFonts w:ascii="Verdana" w:hAnsi="Verdana"/>
          <w:sz w:val="16"/>
          <w:szCs w:val="16"/>
        </w:rPr>
      </w:pPr>
      <w:r>
        <w:rPr>
          <w:rFonts w:ascii="Carlito" w:hAnsi="Carlito"/>
          <w:b/>
          <w:bCs/>
          <w:color w:val="auto"/>
          <w:sz w:val="28"/>
          <w:szCs w:val="28"/>
        </w:rPr>
        <w:t>Termin zagospodarowania nieruchomości</w:t>
      </w:r>
      <w:r>
        <w:rPr>
          <w:rFonts w:ascii="Carlito" w:hAnsi="Carlito"/>
          <w:b/>
          <w:color w:val="auto"/>
          <w:sz w:val="28"/>
          <w:szCs w:val="28"/>
        </w:rPr>
        <w:t>:</w:t>
      </w:r>
      <w:r>
        <w:rPr>
          <w:rFonts w:ascii="Carlito" w:hAnsi="Carlito"/>
          <w:color w:val="auto"/>
          <w:sz w:val="28"/>
          <w:szCs w:val="28"/>
        </w:rPr>
        <w:t xml:space="preserve"> brak określenia</w:t>
      </w:r>
    </w:p>
    <w:p>
      <w:pPr>
        <w:pStyle w:val="Normal"/>
        <w:tabs>
          <w:tab w:val="clear" w:pos="708"/>
          <w:tab w:val="left" w:pos="1418" w:leader="none"/>
        </w:tabs>
        <w:spacing w:lineRule="auto" w:line="360" w:before="0" w:after="0"/>
        <w:ind w:left="0" w:right="0" w:hanging="0"/>
        <w:jc w:val="both"/>
        <w:rPr>
          <w:rFonts w:ascii="Verdana" w:hAnsi="Verdana"/>
          <w:sz w:val="16"/>
          <w:szCs w:val="16"/>
        </w:rPr>
      </w:pPr>
      <w:r>
        <w:rPr>
          <w:rFonts w:ascii="Carlito" w:hAnsi="Carlito"/>
          <w:b/>
          <w:color w:val="auto"/>
          <w:sz w:val="28"/>
          <w:szCs w:val="28"/>
        </w:rPr>
        <w:t>Istniejące uzbrojenie</w:t>
      </w:r>
      <w:r>
        <w:rPr>
          <w:rFonts w:ascii="Carlito" w:hAnsi="Carlito"/>
          <w:color w:val="auto"/>
          <w:sz w:val="28"/>
          <w:szCs w:val="28"/>
        </w:rPr>
        <w:t>: nieruchomość z dostępem do energii elektrycznej, gazu, wodociągu, kanalizacji i telefonu oraz przebiega przez nią w południowej jej części przyłącze gazowe oraz kanalizacyjne.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 w:before="0" w:after="0"/>
        <w:ind w:left="0" w:right="0" w:hanging="0"/>
        <w:rPr>
          <w:rFonts w:ascii="Verdana" w:hAnsi="Verdana"/>
          <w:b/>
          <w:b/>
          <w:sz w:val="16"/>
          <w:szCs w:val="16"/>
        </w:rPr>
      </w:pPr>
      <w:r>
        <w:rPr>
          <w:rFonts w:ascii="Carlito" w:hAnsi="Carlito"/>
          <w:b/>
          <w:color w:val="auto"/>
          <w:sz w:val="28"/>
          <w:szCs w:val="28"/>
        </w:rPr>
        <w:t>Opis nieruchomości:</w:t>
      </w:r>
      <w:r>
        <w:rPr>
          <w:rFonts w:ascii="Carlito" w:hAnsi="Carlito"/>
          <w:color w:val="auto"/>
          <w:sz w:val="28"/>
          <w:szCs w:val="28"/>
        </w:rPr>
        <w:t xml:space="preserve"> działka o nieregularnym kształcie, położona na południowym stoku, z dwoma skarpami. Na działce zlokalizowany jest  budynek garażu o powierzchni zabudowy 21 m</w:t>
      </w:r>
      <w:r>
        <w:rPr>
          <w:rFonts w:ascii="Carlito" w:hAnsi="Carlito"/>
          <w:color w:val="auto"/>
          <w:sz w:val="28"/>
          <w:szCs w:val="28"/>
          <w:vertAlign w:val="superscript"/>
        </w:rPr>
        <w:t>2</w:t>
      </w:r>
      <w:r>
        <w:rPr>
          <w:rFonts w:ascii="Carlito" w:hAnsi="Carlito"/>
          <w:color w:val="auto"/>
          <w:sz w:val="28"/>
          <w:szCs w:val="28"/>
        </w:rPr>
        <w:t>, który po pożarze jest w złym stanie technicznym.</w:t>
      </w:r>
    </w:p>
    <w:p>
      <w:pPr>
        <w:pStyle w:val="Normal"/>
        <w:tabs>
          <w:tab w:val="clear" w:pos="708"/>
          <w:tab w:val="left" w:pos="1080" w:leader="none"/>
        </w:tabs>
        <w:spacing w:lineRule="auto" w:line="360" w:before="0" w:after="0"/>
        <w:ind w:left="0" w:right="0" w:hanging="0"/>
        <w:rPr>
          <w:rFonts w:ascii="Carlito" w:hAnsi="Carlito"/>
          <w:color w:val="auto"/>
          <w:sz w:val="28"/>
          <w:szCs w:val="28"/>
        </w:rPr>
      </w:pPr>
      <w:r>
        <w:rPr>
          <w:rFonts w:ascii="Carlito" w:hAnsi="Carlito"/>
          <w:b/>
          <w:color w:val="auto"/>
          <w:sz w:val="28"/>
          <w:szCs w:val="28"/>
        </w:rPr>
        <w:t xml:space="preserve">Informacja o terenach przyległych: </w:t>
      </w:r>
      <w:r>
        <w:rPr>
          <w:rFonts w:ascii="Carlito" w:hAnsi="Carlito"/>
          <w:color w:val="auto"/>
          <w:sz w:val="28"/>
          <w:szCs w:val="28"/>
        </w:rPr>
        <w:t>nieruchomość położona jest w bezpośrednim sąsiedztwie zabudowy mieszkalnej i terenów zielonych oraz czynnej linii kolejowej.</w:t>
      </w:r>
    </w:p>
    <w:sectPr>
      <w:headerReference w:type="default" r:id="rId5"/>
      <w:footerReference w:type="default" r:id="rId6"/>
      <w:type w:val="nextPage"/>
      <w:pgSz w:w="11906" w:h="16838"/>
      <w:pgMar w:left="284" w:right="284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7672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7672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e79d9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521492"/>
    <w:rPr>
      <w:color w:val="0563C1" w:themeColor="hyperlink"/>
      <w:u w:val="single"/>
    </w:rPr>
  </w:style>
  <w:style w:type="character" w:styleId="ListLabel1">
    <w:name w:val="ListLabel 1"/>
    <w:qFormat/>
    <w:rPr>
      <w:b w:val="false"/>
      <w:color w:val="auto"/>
    </w:rPr>
  </w:style>
  <w:style w:type="character" w:styleId="ListLabel2">
    <w:name w:val="ListLabel 2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Gwka">
    <w:name w:val="Header"/>
    <w:basedOn w:val="Normal"/>
    <w:link w:val="NagwekZnak"/>
    <w:uiPriority w:val="99"/>
    <w:unhideWhenUsed/>
    <w:rsid w:val="001767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767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qFormat/>
    <w:rsid w:val="00476ff0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n-US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e79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c645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26AA-94FA-416E-8C7F-F785355C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LibreOffice/6.2.7.1$Linux_X86_64 LibreOffice_project/20$Build-1</Application>
  <Pages>2</Pages>
  <Words>311</Words>
  <Characters>2112</Characters>
  <CharactersWithSpaces>2407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2018-07-17T09:21:00Z</dcterms:created>
  <dc:creator>Marcin</dc:creator>
  <dc:description/>
  <dc:language>pl-PL</dc:language>
  <cp:lastModifiedBy/>
  <cp:lastPrinted>2016-06-02T09:12:00Z</cp:lastPrinted>
  <dcterms:modified xsi:type="dcterms:W3CDTF">2022-02-04T15:36:24Z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